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75E72F" w14:textId="77777777" w:rsidR="00881D20" w:rsidRPr="00881D20" w:rsidRDefault="00881D20">
      <w:pPr>
        <w:pStyle w:val="Standard"/>
        <w:jc w:val="center"/>
        <w:rPr>
          <w:rFonts w:ascii="Arial" w:hAnsi="Arial"/>
          <w:b/>
          <w:bCs/>
          <w:sz w:val="28"/>
          <w:szCs w:val="26"/>
        </w:rPr>
      </w:pPr>
      <w:r w:rsidRPr="00881D20">
        <w:rPr>
          <w:rFonts w:ascii="Arial" w:hAnsi="Arial"/>
          <w:b/>
          <w:bCs/>
          <w:sz w:val="28"/>
          <w:szCs w:val="26"/>
        </w:rPr>
        <w:t>Westbere Parish Council – Special Edition Newsletter</w:t>
      </w:r>
    </w:p>
    <w:p w14:paraId="40EDF5D0" w14:textId="77777777" w:rsidR="00881D20" w:rsidRPr="00881D20" w:rsidRDefault="00881D20">
      <w:pPr>
        <w:pStyle w:val="Standard"/>
        <w:jc w:val="center"/>
        <w:rPr>
          <w:rFonts w:ascii="Arial" w:hAnsi="Arial"/>
          <w:b/>
          <w:bCs/>
          <w:sz w:val="28"/>
          <w:szCs w:val="26"/>
        </w:rPr>
      </w:pPr>
    </w:p>
    <w:p w14:paraId="1995CE2A" w14:textId="5F32F500" w:rsidR="003E35BC" w:rsidRPr="00881D20" w:rsidRDefault="00000000">
      <w:pPr>
        <w:pStyle w:val="Standard"/>
        <w:jc w:val="center"/>
        <w:rPr>
          <w:rFonts w:ascii="Arial" w:hAnsi="Arial"/>
          <w:b/>
          <w:bCs/>
          <w:color w:val="FF0000"/>
          <w:sz w:val="36"/>
          <w:szCs w:val="30"/>
        </w:rPr>
      </w:pPr>
      <w:r w:rsidRPr="00881D20">
        <w:rPr>
          <w:rFonts w:ascii="Arial" w:hAnsi="Arial"/>
          <w:b/>
          <w:bCs/>
          <w:color w:val="FF0000"/>
          <w:sz w:val="36"/>
          <w:szCs w:val="30"/>
        </w:rPr>
        <w:t>Responding to the Local Plan: A shortish guide</w:t>
      </w:r>
    </w:p>
    <w:p w14:paraId="2312E1B3" w14:textId="77777777" w:rsidR="003E35BC" w:rsidRDefault="003E35BC">
      <w:pPr>
        <w:pStyle w:val="Standard"/>
        <w:rPr>
          <w:rFonts w:ascii="Arial" w:hAnsi="Arial"/>
        </w:rPr>
      </w:pPr>
    </w:p>
    <w:p w14:paraId="26694B99" w14:textId="77777777" w:rsidR="003E35BC" w:rsidRDefault="00000000">
      <w:pPr>
        <w:pStyle w:val="Standard"/>
        <w:rPr>
          <w:rFonts w:ascii="Arial" w:hAnsi="Arial"/>
          <w:b/>
          <w:bCs/>
        </w:rPr>
      </w:pPr>
      <w:r>
        <w:rPr>
          <w:rFonts w:ascii="Arial" w:hAnsi="Arial"/>
          <w:b/>
          <w:bCs/>
        </w:rPr>
        <w:t>Introduction</w:t>
      </w:r>
    </w:p>
    <w:p w14:paraId="3085EF92" w14:textId="595141B4" w:rsidR="003E35BC" w:rsidRDefault="00000000">
      <w:pPr>
        <w:pStyle w:val="Standard"/>
        <w:rPr>
          <w:rFonts w:ascii="Arial" w:hAnsi="Arial"/>
        </w:rPr>
      </w:pPr>
      <w:r>
        <w:rPr>
          <w:rFonts w:ascii="Arial" w:hAnsi="Arial"/>
        </w:rPr>
        <w:t xml:space="preserve">The Local Plan (LP) is part of a fundamental series of policy documents which cover housing developments, economic growth, </w:t>
      </w:r>
      <w:r w:rsidR="00F40C2E">
        <w:rPr>
          <w:rFonts w:ascii="Arial" w:hAnsi="Arial"/>
        </w:rPr>
        <w:t>transport,</w:t>
      </w:r>
      <w:r>
        <w:rPr>
          <w:rFonts w:ascii="Arial" w:hAnsi="Arial"/>
        </w:rPr>
        <w:t xml:space="preserve"> and the environment of Canterbury District. </w:t>
      </w:r>
      <w:r w:rsidR="00F40C2E">
        <w:rPr>
          <w:rFonts w:ascii="Arial" w:hAnsi="Arial"/>
        </w:rPr>
        <w:t>A Local Plan is</w:t>
      </w:r>
      <w:r>
        <w:rPr>
          <w:rFonts w:ascii="Arial" w:hAnsi="Arial"/>
        </w:rPr>
        <w:t xml:space="preserve"> </w:t>
      </w:r>
      <w:r w:rsidR="00F40C2E">
        <w:rPr>
          <w:rFonts w:ascii="Arial" w:hAnsi="Arial"/>
        </w:rPr>
        <w:t>a legal requirement</w:t>
      </w:r>
      <w:r>
        <w:rPr>
          <w:rFonts w:ascii="Arial" w:hAnsi="Arial"/>
        </w:rPr>
        <w:t xml:space="preserve"> </w:t>
      </w:r>
      <w:r w:rsidR="00F40C2E">
        <w:rPr>
          <w:rFonts w:ascii="Arial" w:hAnsi="Arial"/>
        </w:rPr>
        <w:t>in</w:t>
      </w:r>
      <w:r>
        <w:rPr>
          <w:rFonts w:ascii="Arial" w:hAnsi="Arial"/>
        </w:rPr>
        <w:t xml:space="preserve"> law, and without it a Council loses much of the control it should have over planning decisions. The LP sets out a series of specific and technical policies which Councillors must refer to when making decisions on planning applications. It is therefore critical that the LP is clear, legally enforceable, and reflects the views of residents.</w:t>
      </w:r>
    </w:p>
    <w:p w14:paraId="1D44765A" w14:textId="77777777" w:rsidR="003E35BC" w:rsidRDefault="003E35BC">
      <w:pPr>
        <w:pStyle w:val="Standard"/>
        <w:rPr>
          <w:rFonts w:ascii="Arial" w:hAnsi="Arial"/>
          <w:b/>
          <w:bCs/>
        </w:rPr>
      </w:pPr>
    </w:p>
    <w:p w14:paraId="667D2B04" w14:textId="77777777" w:rsidR="003E35BC" w:rsidRDefault="00000000">
      <w:pPr>
        <w:pStyle w:val="Standard"/>
        <w:rPr>
          <w:rFonts w:ascii="Arial" w:hAnsi="Arial"/>
          <w:b/>
          <w:bCs/>
        </w:rPr>
      </w:pPr>
      <w:r>
        <w:rPr>
          <w:rFonts w:ascii="Arial" w:hAnsi="Arial"/>
          <w:b/>
          <w:bCs/>
        </w:rPr>
        <w:t>The current consultation</w:t>
      </w:r>
    </w:p>
    <w:p w14:paraId="6AE82DDD" w14:textId="182583FF" w:rsidR="003E35BC" w:rsidRDefault="00881D20">
      <w:pPr>
        <w:pStyle w:val="Standard"/>
        <w:rPr>
          <w:rFonts w:ascii="Arial" w:hAnsi="Arial"/>
        </w:rPr>
      </w:pPr>
      <w:r>
        <w:rPr>
          <w:rFonts w:ascii="Arial" w:hAnsi="Arial"/>
        </w:rPr>
        <w:t>Canterbury City Council is currently consulting on a new LP to run from 2025 to 2040.  There are related consultations on Transport (including a new Bus Strategy), Air Quality, and Open Spaces.</w:t>
      </w:r>
    </w:p>
    <w:p w14:paraId="68346953" w14:textId="77777777" w:rsidR="003E35BC" w:rsidRDefault="003E35BC">
      <w:pPr>
        <w:pStyle w:val="Standard"/>
        <w:rPr>
          <w:rFonts w:ascii="Arial" w:hAnsi="Arial"/>
          <w:b/>
          <w:bCs/>
        </w:rPr>
      </w:pPr>
    </w:p>
    <w:p w14:paraId="3DB980AD" w14:textId="5E097E89" w:rsidR="003E35BC" w:rsidRPr="00F40C2E" w:rsidRDefault="00000000">
      <w:pPr>
        <w:pStyle w:val="Standard"/>
        <w:rPr>
          <w:rStyle w:val="Hyperlink"/>
          <w:rFonts w:ascii="Arial" w:hAnsi="Arial"/>
          <w:b/>
          <w:bCs/>
        </w:rPr>
      </w:pPr>
      <w:r>
        <w:rPr>
          <w:rFonts w:ascii="Arial" w:hAnsi="Arial"/>
        </w:rPr>
        <w:t xml:space="preserve">You can find links to all the relevant documents here: </w:t>
      </w:r>
      <w:r w:rsidR="00F40C2E">
        <w:rPr>
          <w:rFonts w:ascii="Arial" w:hAnsi="Arial"/>
        </w:rPr>
        <w:fldChar w:fldCharType="begin"/>
      </w:r>
      <w:r w:rsidR="00F40C2E">
        <w:rPr>
          <w:rFonts w:ascii="Arial" w:hAnsi="Arial"/>
        </w:rPr>
        <w:instrText>HYPERLINK "https://news.canterbury.gov.uk/latest-consultations/"</w:instrText>
      </w:r>
      <w:r w:rsidR="00F40C2E">
        <w:rPr>
          <w:rFonts w:ascii="Arial" w:hAnsi="Arial"/>
        </w:rPr>
      </w:r>
      <w:r w:rsidR="00F40C2E">
        <w:rPr>
          <w:rFonts w:ascii="Arial" w:hAnsi="Arial"/>
        </w:rPr>
        <w:fldChar w:fldCharType="separate"/>
      </w:r>
      <w:r w:rsidRPr="00F40C2E">
        <w:rPr>
          <w:rStyle w:val="Hyperlink"/>
          <w:rFonts w:ascii="Arial" w:hAnsi="Arial"/>
        </w:rPr>
        <w:t>https://news.canterbury.gov.uk/latest-consultations/</w:t>
      </w:r>
    </w:p>
    <w:p w14:paraId="108A396D" w14:textId="41D66012" w:rsidR="003E35BC" w:rsidRDefault="00F40C2E">
      <w:pPr>
        <w:pStyle w:val="Standard"/>
        <w:rPr>
          <w:rFonts w:ascii="Arial" w:hAnsi="Arial"/>
          <w:b/>
          <w:bCs/>
        </w:rPr>
      </w:pPr>
      <w:r>
        <w:rPr>
          <w:rFonts w:ascii="Arial" w:hAnsi="Arial"/>
        </w:rPr>
        <w:fldChar w:fldCharType="end"/>
      </w:r>
    </w:p>
    <w:p w14:paraId="663463A6" w14:textId="4509E807" w:rsidR="003E35BC" w:rsidRDefault="00000000" w:rsidP="00881D20">
      <w:pPr>
        <w:pStyle w:val="Standard"/>
      </w:pPr>
      <w:r>
        <w:rPr>
          <w:rFonts w:ascii="Arial" w:hAnsi="Arial"/>
        </w:rPr>
        <w:t xml:space="preserve">The Council is holding </w:t>
      </w:r>
      <w:r>
        <w:t>t</w:t>
      </w:r>
      <w:r>
        <w:rPr>
          <w:rFonts w:ascii="Arial" w:hAnsi="Arial"/>
        </w:rPr>
        <w:t>hree public information sessions across the district where you can talk to council officers about the draft Local Plan in person:</w:t>
      </w:r>
      <w:r w:rsidR="00881D20">
        <w:rPr>
          <w:rFonts w:ascii="Arial" w:hAnsi="Arial"/>
        </w:rPr>
        <w:t xml:space="preserve"> For Canterbury area this is on </w:t>
      </w:r>
      <w:r>
        <w:rPr>
          <w:rStyle w:val="StrongEmphasis"/>
          <w:rFonts w:ascii="Arial" w:hAnsi="Arial"/>
        </w:rPr>
        <w:t>Monday 29 April, 6pm to 8pm</w:t>
      </w:r>
      <w:r>
        <w:rPr>
          <w:rFonts w:ascii="Arial" w:hAnsi="Arial"/>
        </w:rPr>
        <w:t>: The Guildhall, St Peter’s Place, Canterbury, CT1 2DB</w:t>
      </w:r>
    </w:p>
    <w:p w14:paraId="02DFD3D7" w14:textId="6E4D8ED1" w:rsidR="003E35BC" w:rsidRDefault="00000000">
      <w:pPr>
        <w:pStyle w:val="Textbody"/>
        <w:rPr>
          <w:rFonts w:ascii="Arial" w:hAnsi="Arial"/>
        </w:rPr>
      </w:pPr>
      <w:r>
        <w:rPr>
          <w:rFonts w:ascii="Arial" w:hAnsi="Arial"/>
        </w:rPr>
        <w:t xml:space="preserve">You </w:t>
      </w:r>
      <w:r w:rsidR="00F40C2E">
        <w:rPr>
          <w:rFonts w:ascii="Arial" w:hAnsi="Arial"/>
        </w:rPr>
        <w:t>do not</w:t>
      </w:r>
      <w:r>
        <w:rPr>
          <w:rFonts w:ascii="Arial" w:hAnsi="Arial"/>
        </w:rPr>
        <w:t xml:space="preserve"> need to register to attend</w:t>
      </w:r>
      <w:r w:rsidR="00881D20">
        <w:rPr>
          <w:rFonts w:ascii="Arial" w:hAnsi="Arial"/>
        </w:rPr>
        <w:t>.</w:t>
      </w:r>
    </w:p>
    <w:p w14:paraId="5FCE8E3C" w14:textId="5BA51329" w:rsidR="003E35BC" w:rsidRDefault="00000000">
      <w:pPr>
        <w:pStyle w:val="Standard"/>
        <w:rPr>
          <w:rFonts w:ascii="Arial" w:hAnsi="Arial"/>
          <w:b/>
          <w:bCs/>
        </w:rPr>
      </w:pPr>
      <w:r>
        <w:rPr>
          <w:rFonts w:ascii="Arial" w:hAnsi="Arial"/>
        </w:rPr>
        <w:t>The consultations on all policies close at 5 p.m. on Monday 3</w:t>
      </w:r>
      <w:r>
        <w:rPr>
          <w:rFonts w:ascii="Arial" w:hAnsi="Arial"/>
          <w:vertAlign w:val="superscript"/>
        </w:rPr>
        <w:t xml:space="preserve">rd </w:t>
      </w:r>
      <w:r>
        <w:rPr>
          <w:rFonts w:ascii="Arial" w:hAnsi="Arial"/>
        </w:rPr>
        <w:t>June</w:t>
      </w:r>
      <w:r w:rsidR="00881D20">
        <w:rPr>
          <w:rFonts w:ascii="Arial" w:hAnsi="Arial"/>
        </w:rPr>
        <w:t xml:space="preserve"> 2024</w:t>
      </w:r>
      <w:r>
        <w:rPr>
          <w:rFonts w:ascii="Arial" w:hAnsi="Arial"/>
        </w:rPr>
        <w:t xml:space="preserve">. All residents and organisations across the </w:t>
      </w:r>
      <w:r w:rsidR="00F40C2E">
        <w:rPr>
          <w:rFonts w:ascii="Arial" w:hAnsi="Arial"/>
        </w:rPr>
        <w:t>district</w:t>
      </w:r>
      <w:r>
        <w:rPr>
          <w:rFonts w:ascii="Arial" w:hAnsi="Arial"/>
        </w:rPr>
        <w:t xml:space="preserve"> can respond to the consultation.</w:t>
      </w:r>
    </w:p>
    <w:p w14:paraId="1233774F" w14:textId="77777777" w:rsidR="003E35BC" w:rsidRDefault="003E35BC">
      <w:pPr>
        <w:pStyle w:val="Standard"/>
        <w:rPr>
          <w:rFonts w:ascii="Arial" w:hAnsi="Arial"/>
          <w:b/>
          <w:bCs/>
        </w:rPr>
      </w:pPr>
    </w:p>
    <w:p w14:paraId="5B74BE35" w14:textId="77777777" w:rsidR="003E35BC" w:rsidRDefault="00000000">
      <w:pPr>
        <w:pStyle w:val="Standard"/>
        <w:rPr>
          <w:rFonts w:ascii="Arial" w:hAnsi="Arial"/>
          <w:b/>
          <w:bCs/>
        </w:rPr>
      </w:pPr>
      <w:r>
        <w:rPr>
          <w:rFonts w:ascii="Arial" w:hAnsi="Arial"/>
          <w:b/>
          <w:bCs/>
        </w:rPr>
        <w:t>How to respond</w:t>
      </w:r>
    </w:p>
    <w:p w14:paraId="28B1CD0C" w14:textId="77777777" w:rsidR="003E35BC" w:rsidRDefault="003E35BC">
      <w:pPr>
        <w:pStyle w:val="Standard"/>
        <w:rPr>
          <w:rFonts w:ascii="Arial" w:hAnsi="Arial"/>
          <w:b/>
          <w:bCs/>
        </w:rPr>
      </w:pPr>
    </w:p>
    <w:p w14:paraId="48141E60" w14:textId="77777777" w:rsidR="003E35BC" w:rsidRDefault="00000000">
      <w:pPr>
        <w:pStyle w:val="Standard"/>
        <w:rPr>
          <w:rFonts w:ascii="Arial" w:hAnsi="Arial"/>
        </w:rPr>
      </w:pPr>
      <w:r>
        <w:rPr>
          <w:rFonts w:ascii="Arial" w:hAnsi="Arial"/>
        </w:rPr>
        <w:t>Residents can only make one response to the LP.</w:t>
      </w:r>
    </w:p>
    <w:p w14:paraId="46DE1A9F" w14:textId="77777777" w:rsidR="003E35BC" w:rsidRDefault="003E35BC">
      <w:pPr>
        <w:pStyle w:val="Standard"/>
        <w:rPr>
          <w:rFonts w:ascii="Arial" w:hAnsi="Arial"/>
          <w:b/>
          <w:bCs/>
        </w:rPr>
      </w:pPr>
    </w:p>
    <w:p w14:paraId="51B0261E" w14:textId="548F59CA" w:rsidR="003E35BC" w:rsidRDefault="00000000">
      <w:pPr>
        <w:pStyle w:val="Standard"/>
        <w:rPr>
          <w:rFonts w:ascii="Arial" w:hAnsi="Arial"/>
        </w:rPr>
      </w:pPr>
      <w:r>
        <w:rPr>
          <w:rFonts w:ascii="Arial" w:hAnsi="Arial"/>
        </w:rPr>
        <w:t xml:space="preserve">There is an online response form. This sets out every single policy in the order they appear in the LP document. Since many of them will not be of interest to </w:t>
      </w:r>
      <w:r w:rsidR="00F40C2E">
        <w:rPr>
          <w:rFonts w:ascii="Arial" w:hAnsi="Arial"/>
        </w:rPr>
        <w:t xml:space="preserve">most of you, as </w:t>
      </w:r>
      <w:r w:rsidR="00881D20">
        <w:rPr>
          <w:rFonts w:ascii="Arial" w:hAnsi="Arial"/>
        </w:rPr>
        <w:t>Westbere</w:t>
      </w:r>
      <w:r>
        <w:rPr>
          <w:rFonts w:ascii="Arial" w:hAnsi="Arial"/>
        </w:rPr>
        <w:t xml:space="preserve"> residents</w:t>
      </w:r>
      <w:r w:rsidR="00F40C2E">
        <w:rPr>
          <w:rFonts w:ascii="Arial" w:hAnsi="Arial"/>
        </w:rPr>
        <w:t>,</w:t>
      </w:r>
      <w:r>
        <w:rPr>
          <w:rFonts w:ascii="Arial" w:hAnsi="Arial"/>
        </w:rPr>
        <w:t xml:space="preserve"> this makes it quite long-winded to complete. </w:t>
      </w:r>
      <w:r w:rsidR="00F40C2E">
        <w:rPr>
          <w:rFonts w:ascii="Arial" w:hAnsi="Arial"/>
        </w:rPr>
        <w:t>You</w:t>
      </w:r>
      <w:r>
        <w:rPr>
          <w:rFonts w:ascii="Arial" w:hAnsi="Arial"/>
        </w:rPr>
        <w:t xml:space="preserve"> can only respond once, </w:t>
      </w:r>
      <w:r w:rsidR="00F40C2E">
        <w:rPr>
          <w:rFonts w:ascii="Arial" w:hAnsi="Arial"/>
        </w:rPr>
        <w:t xml:space="preserve">so </w:t>
      </w:r>
      <w:r>
        <w:rPr>
          <w:rFonts w:ascii="Arial" w:hAnsi="Arial"/>
        </w:rPr>
        <w:t xml:space="preserve">if you </w:t>
      </w:r>
      <w:r w:rsidR="00F40C2E">
        <w:rPr>
          <w:rFonts w:ascii="Arial" w:hAnsi="Arial"/>
        </w:rPr>
        <w:t xml:space="preserve">were to </w:t>
      </w:r>
      <w:r>
        <w:rPr>
          <w:rFonts w:ascii="Arial" w:hAnsi="Arial"/>
        </w:rPr>
        <w:t>accidentally “Submit” instead of “Save” before you have finished</w:t>
      </w:r>
      <w:r w:rsidR="00F40C2E">
        <w:rPr>
          <w:rFonts w:ascii="Arial" w:hAnsi="Arial"/>
        </w:rPr>
        <w:t>,</w:t>
      </w:r>
      <w:r>
        <w:rPr>
          <w:rFonts w:ascii="Arial" w:hAnsi="Arial"/>
        </w:rPr>
        <w:t xml:space="preserve"> you will lose the ability to make additional comments.</w:t>
      </w:r>
    </w:p>
    <w:p w14:paraId="6DB33D5D" w14:textId="77777777" w:rsidR="003E35BC" w:rsidRDefault="003E35BC">
      <w:pPr>
        <w:pStyle w:val="Standard"/>
        <w:rPr>
          <w:rFonts w:ascii="Arial" w:hAnsi="Arial"/>
          <w:b/>
          <w:bCs/>
        </w:rPr>
      </w:pPr>
    </w:p>
    <w:p w14:paraId="6D65A96D" w14:textId="77777777" w:rsidR="00F40C2E" w:rsidRDefault="00000000">
      <w:pPr>
        <w:pStyle w:val="Standard"/>
        <w:rPr>
          <w:rFonts w:ascii="Arial" w:hAnsi="Arial"/>
        </w:rPr>
      </w:pPr>
      <w:r w:rsidRPr="00881D20">
        <w:rPr>
          <w:rFonts w:ascii="Arial" w:hAnsi="Arial"/>
          <w:i/>
          <w:iCs/>
        </w:rPr>
        <w:t>W</w:t>
      </w:r>
      <w:r w:rsidR="00F40C2E">
        <w:rPr>
          <w:rFonts w:ascii="Arial" w:hAnsi="Arial"/>
          <w:i/>
          <w:iCs/>
        </w:rPr>
        <w:t>estbere Parish Council</w:t>
      </w:r>
      <w:r w:rsidRPr="00881D20">
        <w:rPr>
          <w:rFonts w:ascii="Arial" w:hAnsi="Arial"/>
          <w:i/>
          <w:iCs/>
        </w:rPr>
        <w:t xml:space="preserve"> recommend therefore that residents respond by email.</w:t>
      </w:r>
      <w:r>
        <w:rPr>
          <w:rFonts w:ascii="Arial" w:hAnsi="Arial"/>
        </w:rPr>
        <w:t xml:space="preserve"> You can submit general comments, or you can follow the structure of the online form but only referring to those aspects which are relevant to you. A copy of the questionnaire is downloadable here: </w:t>
      </w:r>
    </w:p>
    <w:p w14:paraId="76363ACA" w14:textId="27C19C91" w:rsidR="00F40C2E" w:rsidRPr="00F40C2E" w:rsidRDefault="00000000">
      <w:pPr>
        <w:pStyle w:val="Standard"/>
        <w:rPr>
          <w:rFonts w:ascii="Arial" w:hAnsi="Arial"/>
        </w:rPr>
      </w:pPr>
      <w:hyperlink r:id="rId7" w:history="1">
        <w:r w:rsidR="00F40C2E" w:rsidRPr="00CB14A5">
          <w:rPr>
            <w:rStyle w:val="Hyperlink"/>
            <w:rFonts w:ascii="Arial" w:hAnsi="Arial"/>
          </w:rPr>
          <w:t>https://news.canterbury.gov.uk/wp-content/uploads/2024-Local-Plan-2040-paper-version.pdf</w:t>
        </w:r>
      </w:hyperlink>
    </w:p>
    <w:p w14:paraId="6A2B6B3F" w14:textId="5C90E694" w:rsidR="003E35BC" w:rsidRDefault="00881D20">
      <w:pPr>
        <w:pStyle w:val="Standard"/>
        <w:rPr>
          <w:rFonts w:ascii="Arial" w:hAnsi="Arial" w:cs="Arial"/>
          <w:b/>
          <w:bCs/>
        </w:rPr>
      </w:pPr>
      <w:r>
        <w:rPr>
          <w:rFonts w:ascii="Arial" w:hAnsi="Arial"/>
          <w:b/>
          <w:bCs/>
        </w:rPr>
        <w:t xml:space="preserve">Email your comments </w:t>
      </w:r>
      <w:r w:rsidR="00F40C2E">
        <w:rPr>
          <w:rFonts w:ascii="Arial" w:hAnsi="Arial"/>
          <w:b/>
          <w:bCs/>
        </w:rPr>
        <w:t>to:</w:t>
      </w:r>
      <w:r w:rsidR="00F40C2E" w:rsidRPr="00881D20">
        <w:rPr>
          <w:rFonts w:ascii="Arial" w:hAnsi="Arial" w:cs="Arial"/>
          <w:b/>
          <w:bCs/>
        </w:rPr>
        <w:t xml:space="preserve"> </w:t>
      </w:r>
      <w:hyperlink r:id="rId8" w:history="1">
        <w:r w:rsidR="00F40C2E" w:rsidRPr="00CB14A5">
          <w:rPr>
            <w:rStyle w:val="Hyperlink"/>
            <w:rFonts w:ascii="Arial" w:hAnsi="Arial" w:cs="Arial"/>
            <w:b/>
            <w:bCs/>
          </w:rPr>
          <w:t>consultations@canterbury.gov.uk</w:t>
        </w:r>
      </w:hyperlink>
    </w:p>
    <w:p w14:paraId="7E413664" w14:textId="77777777" w:rsidR="00F40C2E" w:rsidRDefault="00F40C2E">
      <w:pPr>
        <w:pStyle w:val="Standard"/>
        <w:rPr>
          <w:rFonts w:ascii="Arial" w:hAnsi="Arial"/>
          <w:b/>
          <w:bCs/>
        </w:rPr>
      </w:pPr>
    </w:p>
    <w:p w14:paraId="1EBE4288" w14:textId="5C314D1B" w:rsidR="003E35BC" w:rsidRDefault="00000000">
      <w:pPr>
        <w:pStyle w:val="Standard"/>
        <w:rPr>
          <w:rFonts w:ascii="Arial" w:hAnsi="Arial"/>
        </w:rPr>
      </w:pPr>
      <w:r>
        <w:rPr>
          <w:rFonts w:ascii="Arial" w:hAnsi="Arial"/>
        </w:rPr>
        <w:t xml:space="preserve">Whichever method you choose to use – including the Council’s online questionnaire – we recommend that you </w:t>
      </w:r>
      <w:r w:rsidR="00F40C2E">
        <w:rPr>
          <w:rFonts w:ascii="Arial" w:hAnsi="Arial"/>
        </w:rPr>
        <w:t>pre-</w:t>
      </w:r>
      <w:r>
        <w:rPr>
          <w:rFonts w:ascii="Arial" w:hAnsi="Arial"/>
        </w:rPr>
        <w:t>prepare your responses in a document before submitting them</w:t>
      </w:r>
      <w:r w:rsidR="00F40C2E">
        <w:rPr>
          <w:rFonts w:ascii="Arial" w:hAnsi="Arial"/>
        </w:rPr>
        <w:t>.</w:t>
      </w:r>
    </w:p>
    <w:p w14:paraId="040B0B70" w14:textId="77777777" w:rsidR="003E35BC" w:rsidRDefault="003E35BC">
      <w:pPr>
        <w:pStyle w:val="Standard"/>
        <w:rPr>
          <w:rFonts w:ascii="Arial" w:hAnsi="Arial"/>
        </w:rPr>
      </w:pPr>
    </w:p>
    <w:p w14:paraId="36C28BB9" w14:textId="431DB95B" w:rsidR="003E35BC" w:rsidRDefault="00000000">
      <w:pPr>
        <w:pStyle w:val="Standard"/>
        <w:rPr>
          <w:rFonts w:ascii="Arial" w:hAnsi="Arial"/>
        </w:rPr>
      </w:pPr>
      <w:r>
        <w:rPr>
          <w:rFonts w:ascii="Arial" w:hAnsi="Arial"/>
        </w:rPr>
        <w:lastRenderedPageBreak/>
        <w:t xml:space="preserve">Finally, we suggest that it is </w:t>
      </w:r>
      <w:r w:rsidRPr="00080464">
        <w:rPr>
          <w:rFonts w:ascii="Arial" w:hAnsi="Arial"/>
          <w:u w:val="single"/>
        </w:rPr>
        <w:t>as</w:t>
      </w:r>
      <w:r>
        <w:rPr>
          <w:rFonts w:ascii="Arial" w:hAnsi="Arial"/>
        </w:rPr>
        <w:t xml:space="preserve"> important to comment positively on any policies that you support</w:t>
      </w:r>
      <w:r w:rsidR="00F40C2E">
        <w:rPr>
          <w:rFonts w:ascii="Arial" w:hAnsi="Arial"/>
        </w:rPr>
        <w:t>,</w:t>
      </w:r>
      <w:r>
        <w:rPr>
          <w:rFonts w:ascii="Arial" w:hAnsi="Arial"/>
        </w:rPr>
        <w:t xml:space="preserve"> as it is to criti</w:t>
      </w:r>
      <w:r w:rsidR="00080464">
        <w:rPr>
          <w:rFonts w:ascii="Arial" w:hAnsi="Arial"/>
        </w:rPr>
        <w:t>que</w:t>
      </w:r>
      <w:r>
        <w:rPr>
          <w:rFonts w:ascii="Arial" w:hAnsi="Arial"/>
        </w:rPr>
        <w:t xml:space="preserve"> or propose amendments to those policies which are of concern</w:t>
      </w:r>
      <w:r w:rsidR="00F40C2E">
        <w:rPr>
          <w:rFonts w:ascii="Arial" w:hAnsi="Arial"/>
        </w:rPr>
        <w:t xml:space="preserve"> to you</w:t>
      </w:r>
      <w:r>
        <w:rPr>
          <w:rFonts w:ascii="Arial" w:hAnsi="Arial"/>
        </w:rPr>
        <w:t>.</w:t>
      </w:r>
    </w:p>
    <w:p w14:paraId="60770F59" w14:textId="77777777" w:rsidR="003E35BC" w:rsidRDefault="003E35BC">
      <w:pPr>
        <w:pStyle w:val="Standard"/>
        <w:rPr>
          <w:rFonts w:ascii="Arial" w:hAnsi="Arial"/>
        </w:rPr>
      </w:pPr>
    </w:p>
    <w:p w14:paraId="2141E95F" w14:textId="77777777" w:rsidR="00881D20" w:rsidRDefault="00881D20">
      <w:pPr>
        <w:pStyle w:val="Standard"/>
        <w:rPr>
          <w:rFonts w:ascii="Arial" w:hAnsi="Arial"/>
        </w:rPr>
      </w:pPr>
    </w:p>
    <w:p w14:paraId="5294ACB0" w14:textId="77777777" w:rsidR="003E35BC" w:rsidRDefault="00000000">
      <w:pPr>
        <w:pStyle w:val="Standard"/>
        <w:rPr>
          <w:rFonts w:ascii="Arial" w:hAnsi="Arial"/>
          <w:b/>
          <w:bCs/>
        </w:rPr>
      </w:pPr>
      <w:r>
        <w:rPr>
          <w:rFonts w:ascii="Arial" w:hAnsi="Arial"/>
          <w:b/>
          <w:bCs/>
        </w:rPr>
        <w:t>Structure of the LP</w:t>
      </w:r>
    </w:p>
    <w:p w14:paraId="2CB1B03C" w14:textId="4572E388" w:rsidR="003E35BC" w:rsidRDefault="00080464">
      <w:pPr>
        <w:pStyle w:val="Standard"/>
        <w:rPr>
          <w:rFonts w:ascii="Arial" w:hAnsi="Arial"/>
        </w:rPr>
      </w:pPr>
      <w:r>
        <w:rPr>
          <w:rFonts w:ascii="Arial" w:hAnsi="Arial"/>
        </w:rPr>
        <w:t xml:space="preserve">One slightly confusing aspect of the draft LP is that policies which apply across the </w:t>
      </w:r>
      <w:r w:rsidR="00A274E5">
        <w:rPr>
          <w:rFonts w:ascii="Arial" w:hAnsi="Arial"/>
        </w:rPr>
        <w:t>district</w:t>
      </w:r>
      <w:r>
        <w:rPr>
          <w:rFonts w:ascii="Arial" w:hAnsi="Arial"/>
        </w:rPr>
        <w:t xml:space="preserve"> and apply to all prospective developments are set out in sections 6, 7 and 8 - </w:t>
      </w:r>
      <w:r>
        <w:rPr>
          <w:rFonts w:ascii="Arial" w:hAnsi="Arial"/>
          <w:i/>
          <w:iCs/>
        </w:rPr>
        <w:t>after</w:t>
      </w:r>
      <w:r>
        <w:rPr>
          <w:rFonts w:ascii="Arial" w:hAnsi="Arial"/>
        </w:rPr>
        <w:t xml:space="preserve"> the sections relating to specific sites earmarked for development. In the site-specific policies these general policies tend to be referred to, making this confusing. Even more reason we recommend you read and prepare any comments on those latter sections before you comment on any specific site.</w:t>
      </w:r>
    </w:p>
    <w:p w14:paraId="37C2AE89" w14:textId="77777777" w:rsidR="003E35BC" w:rsidRDefault="003E35BC">
      <w:pPr>
        <w:pStyle w:val="Standard"/>
        <w:rPr>
          <w:rFonts w:ascii="Arial" w:hAnsi="Arial"/>
        </w:rPr>
      </w:pPr>
    </w:p>
    <w:p w14:paraId="42AE9536" w14:textId="4189331A" w:rsidR="003E35BC" w:rsidRDefault="00000000">
      <w:pPr>
        <w:pStyle w:val="Standard"/>
        <w:rPr>
          <w:rFonts w:ascii="Arial" w:hAnsi="Arial"/>
        </w:rPr>
      </w:pPr>
      <w:r>
        <w:rPr>
          <w:rFonts w:ascii="Arial" w:hAnsi="Arial"/>
        </w:rPr>
        <w:t xml:space="preserve">The early sections of the LP set out what the Council describes as a “Spatial Strategy for the District” followed by area specific sites selected for development. Each of these sections sets out planning policies and contains relevant maps and layout plans. The maps are often </w:t>
      </w:r>
      <w:r w:rsidR="0020042E">
        <w:rPr>
          <w:rFonts w:ascii="Arial" w:hAnsi="Arial"/>
        </w:rPr>
        <w:t>less than ideal</w:t>
      </w:r>
      <w:r>
        <w:rPr>
          <w:rFonts w:ascii="Arial" w:hAnsi="Arial"/>
        </w:rPr>
        <w:t xml:space="preserve"> but </w:t>
      </w:r>
      <w:r w:rsidR="0020042E">
        <w:rPr>
          <w:rFonts w:ascii="Arial" w:hAnsi="Arial"/>
        </w:rPr>
        <w:t>is</w:t>
      </w:r>
      <w:r>
        <w:rPr>
          <w:rFonts w:ascii="Arial" w:hAnsi="Arial"/>
        </w:rPr>
        <w:t xml:space="preserve"> adequate for most respondents to use. If you </w:t>
      </w:r>
      <w:r w:rsidR="0020042E">
        <w:rPr>
          <w:rFonts w:ascii="Arial" w:hAnsi="Arial"/>
        </w:rPr>
        <w:t xml:space="preserve">like detailed online maps </w:t>
      </w:r>
      <w:r>
        <w:rPr>
          <w:rFonts w:ascii="Arial" w:hAnsi="Arial"/>
        </w:rPr>
        <w:t>you may find it helpful to look at the Council’s online “interactive” map:</w:t>
      </w:r>
    </w:p>
    <w:p w14:paraId="3E9F117C" w14:textId="77777777" w:rsidR="003E35BC" w:rsidRDefault="00000000">
      <w:pPr>
        <w:pStyle w:val="Standard"/>
        <w:rPr>
          <w:rFonts w:ascii="Arial" w:hAnsi="Arial"/>
        </w:rPr>
      </w:pPr>
      <w:hyperlink r:id="rId9" w:history="1"/>
    </w:p>
    <w:p w14:paraId="776E85DB" w14:textId="6636FA1F" w:rsidR="003E35BC" w:rsidRPr="00080464" w:rsidRDefault="00080464">
      <w:pPr>
        <w:pStyle w:val="Standard"/>
        <w:rPr>
          <w:rStyle w:val="Hyperlink"/>
          <w:rFonts w:ascii="Arial" w:hAnsi="Arial"/>
        </w:rPr>
      </w:pPr>
      <w:r>
        <w:rPr>
          <w:rFonts w:ascii="Arial" w:hAnsi="Arial"/>
        </w:rPr>
        <w:fldChar w:fldCharType="begin"/>
      </w:r>
      <w:r>
        <w:rPr>
          <w:rFonts w:ascii="Arial" w:hAnsi="Arial"/>
        </w:rPr>
        <w:instrText>HYPERLINK "https://experience.arcgis.com/experience/1e8c61757821421e8dc7d1eab938ed98/?draft=true"</w:instrText>
      </w:r>
      <w:r>
        <w:rPr>
          <w:rFonts w:ascii="Arial" w:hAnsi="Arial"/>
        </w:rPr>
      </w:r>
      <w:r>
        <w:rPr>
          <w:rFonts w:ascii="Arial" w:hAnsi="Arial"/>
        </w:rPr>
        <w:fldChar w:fldCharType="separate"/>
      </w:r>
      <w:r w:rsidRPr="00080464">
        <w:rPr>
          <w:rStyle w:val="Hyperlink"/>
          <w:rFonts w:ascii="Arial" w:hAnsi="Arial"/>
        </w:rPr>
        <w:t>https://experience.arcgis.com/experience/1e8c61757821421e8dc7d1eab938ed98/?draft=true</w:t>
      </w:r>
    </w:p>
    <w:p w14:paraId="66120B28" w14:textId="1ECBBCB1" w:rsidR="003E35BC" w:rsidRDefault="00080464">
      <w:pPr>
        <w:pStyle w:val="Standard"/>
        <w:rPr>
          <w:rFonts w:ascii="Arial" w:hAnsi="Arial"/>
        </w:rPr>
      </w:pPr>
      <w:r>
        <w:rPr>
          <w:rFonts w:ascii="Arial" w:hAnsi="Arial"/>
        </w:rPr>
        <w:fldChar w:fldCharType="end"/>
      </w:r>
    </w:p>
    <w:p w14:paraId="5D42ED3F" w14:textId="77777777" w:rsidR="003E35BC" w:rsidRDefault="00000000">
      <w:pPr>
        <w:pStyle w:val="Standard"/>
        <w:rPr>
          <w:rFonts w:ascii="Arial" w:hAnsi="Arial"/>
        </w:rPr>
      </w:pPr>
      <w:r>
        <w:rPr>
          <w:rFonts w:ascii="Arial" w:hAnsi="Arial"/>
        </w:rPr>
        <w:t>This is a quite complex map with multiple layers which you can switch on or off.</w:t>
      </w:r>
    </w:p>
    <w:p w14:paraId="6B94836B" w14:textId="77777777" w:rsidR="003E35BC" w:rsidRDefault="003E35BC">
      <w:pPr>
        <w:pStyle w:val="Standard"/>
        <w:rPr>
          <w:rFonts w:ascii="Arial" w:hAnsi="Arial"/>
        </w:rPr>
      </w:pPr>
    </w:p>
    <w:p w14:paraId="3B82918A" w14:textId="42936F92" w:rsidR="003E35BC" w:rsidRDefault="0020042E">
      <w:pPr>
        <w:pStyle w:val="Standard"/>
        <w:rPr>
          <w:rFonts w:ascii="Arial" w:hAnsi="Arial"/>
        </w:rPr>
      </w:pPr>
      <w:r>
        <w:rPr>
          <w:rFonts w:ascii="Arial" w:hAnsi="Arial"/>
          <w:noProof/>
        </w:rPr>
        <w:drawing>
          <wp:anchor distT="0" distB="0" distL="114300" distR="114300" simplePos="0" relativeHeight="251658240" behindDoc="0" locked="0" layoutInCell="1" allowOverlap="1" wp14:anchorId="67630C91" wp14:editId="47F54A79">
            <wp:simplePos x="0" y="0"/>
            <wp:positionH relativeFrom="column">
              <wp:posOffset>1731010</wp:posOffset>
            </wp:positionH>
            <wp:positionV relativeFrom="paragraph">
              <wp:posOffset>823595</wp:posOffset>
            </wp:positionV>
            <wp:extent cx="3619500" cy="3886200"/>
            <wp:effectExtent l="0" t="0" r="0" b="0"/>
            <wp:wrapTopAndBottom/>
            <wp:docPr id="2025906857" name="Imag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lum/>
                      <a:alphaModFix/>
                    </a:blip>
                    <a:srcRect/>
                    <a:stretch>
                      <a:fillRect/>
                    </a:stretch>
                  </pic:blipFill>
                  <pic:spPr>
                    <a:xfrm>
                      <a:off x="0" y="0"/>
                      <a:ext cx="3619500" cy="3886200"/>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hAnsi="Arial"/>
        </w:rPr>
        <w:t xml:space="preserve">Every Policy has a reference code, and it is these you should refer to when responding to the LP. Note that although there is considerable explanatory text, only the text boxes as shown below contain the actual Planning Policy statements that will </w:t>
      </w:r>
      <w:r w:rsidR="00A274E5">
        <w:rPr>
          <w:rFonts w:ascii="Arial" w:hAnsi="Arial"/>
        </w:rPr>
        <w:t>be referred</w:t>
      </w:r>
      <w:r>
        <w:rPr>
          <w:rFonts w:ascii="Arial" w:hAnsi="Arial"/>
        </w:rPr>
        <w:t xml:space="preserve"> to when making planning decisions.</w:t>
      </w:r>
    </w:p>
    <w:p w14:paraId="1B1623BE" w14:textId="674CE8A8" w:rsidR="003E35BC" w:rsidRDefault="003E35BC">
      <w:pPr>
        <w:pStyle w:val="Standard"/>
        <w:rPr>
          <w:rFonts w:ascii="Arial" w:hAnsi="Arial"/>
        </w:rPr>
      </w:pPr>
    </w:p>
    <w:p w14:paraId="21D7DB19" w14:textId="0DCC2AB0" w:rsidR="00174A4C" w:rsidRDefault="00174A4C">
      <w:pPr>
        <w:pStyle w:val="Standard"/>
        <w:rPr>
          <w:rFonts w:ascii="Arial" w:hAnsi="Arial"/>
          <w:b/>
          <w:bCs/>
        </w:rPr>
      </w:pPr>
    </w:p>
    <w:p w14:paraId="35BB966A" w14:textId="77777777" w:rsidR="00174A4C" w:rsidRDefault="00174A4C">
      <w:pPr>
        <w:pStyle w:val="Standard"/>
        <w:rPr>
          <w:rFonts w:ascii="Arial" w:hAnsi="Arial"/>
          <w:b/>
          <w:bCs/>
        </w:rPr>
      </w:pPr>
    </w:p>
    <w:p w14:paraId="4F87C4DE" w14:textId="77777777" w:rsidR="00174A4C" w:rsidRDefault="00174A4C">
      <w:pPr>
        <w:pStyle w:val="Standard"/>
        <w:rPr>
          <w:rFonts w:ascii="Arial" w:hAnsi="Arial"/>
          <w:b/>
          <w:bCs/>
        </w:rPr>
      </w:pPr>
    </w:p>
    <w:p w14:paraId="3B65E3E0" w14:textId="4A8C3260" w:rsidR="003E35BC" w:rsidRDefault="00000000">
      <w:pPr>
        <w:pStyle w:val="Standard"/>
        <w:rPr>
          <w:rFonts w:ascii="Arial" w:hAnsi="Arial"/>
          <w:b/>
          <w:bCs/>
        </w:rPr>
      </w:pPr>
      <w:r>
        <w:rPr>
          <w:rFonts w:ascii="Arial" w:hAnsi="Arial"/>
          <w:b/>
          <w:bCs/>
        </w:rPr>
        <w:t>Key policy sections</w:t>
      </w:r>
      <w:r w:rsidR="002376C2">
        <w:rPr>
          <w:rFonts w:ascii="Arial" w:hAnsi="Arial"/>
          <w:b/>
          <w:bCs/>
        </w:rPr>
        <w:t xml:space="preserve"> for you to </w:t>
      </w:r>
      <w:r w:rsidR="00426FFB">
        <w:rPr>
          <w:rFonts w:ascii="Arial" w:hAnsi="Arial"/>
          <w:b/>
          <w:bCs/>
        </w:rPr>
        <w:t>consider.</w:t>
      </w:r>
    </w:p>
    <w:p w14:paraId="4EE3D686" w14:textId="624AF31F" w:rsidR="003E35BC" w:rsidRDefault="00000000">
      <w:pPr>
        <w:pStyle w:val="Standard"/>
        <w:rPr>
          <w:rFonts w:ascii="Arial" w:hAnsi="Arial"/>
          <w:b/>
          <w:bCs/>
        </w:rPr>
      </w:pPr>
      <w:r>
        <w:rPr>
          <w:rFonts w:ascii="Arial" w:hAnsi="Arial"/>
        </w:rPr>
        <w:t>We d</w:t>
      </w:r>
      <w:r w:rsidR="0020042E">
        <w:rPr>
          <w:rFonts w:ascii="Arial" w:hAnsi="Arial"/>
        </w:rPr>
        <w:t>id not seek</w:t>
      </w:r>
      <w:r>
        <w:rPr>
          <w:rFonts w:ascii="Arial" w:hAnsi="Arial"/>
        </w:rPr>
        <w:t xml:space="preserve"> to try to direct or prompt your priorities or opinions. But because the document is so long and complicated, we th</w:t>
      </w:r>
      <w:r w:rsidR="0020042E">
        <w:rPr>
          <w:rFonts w:ascii="Arial" w:hAnsi="Arial"/>
        </w:rPr>
        <w:t>ought</w:t>
      </w:r>
      <w:r>
        <w:rPr>
          <w:rFonts w:ascii="Arial" w:hAnsi="Arial"/>
        </w:rPr>
        <w:t xml:space="preserve"> it is worth highlighting </w:t>
      </w:r>
      <w:r w:rsidR="0020042E">
        <w:rPr>
          <w:rFonts w:ascii="Arial" w:hAnsi="Arial"/>
        </w:rPr>
        <w:t xml:space="preserve">specific </w:t>
      </w:r>
      <w:r>
        <w:rPr>
          <w:rFonts w:ascii="Arial" w:hAnsi="Arial"/>
        </w:rPr>
        <w:t xml:space="preserve">sections which have </w:t>
      </w:r>
      <w:r w:rsidR="0020042E">
        <w:rPr>
          <w:rFonts w:ascii="Arial" w:hAnsi="Arial"/>
        </w:rPr>
        <w:t>relevance</w:t>
      </w:r>
      <w:r>
        <w:rPr>
          <w:rFonts w:ascii="Arial" w:hAnsi="Arial"/>
        </w:rPr>
        <w:t xml:space="preserve"> to this Parish </w:t>
      </w:r>
      <w:r w:rsidR="0020042E">
        <w:rPr>
          <w:rFonts w:ascii="Arial" w:hAnsi="Arial"/>
        </w:rPr>
        <w:t xml:space="preserve">of Westbere </w:t>
      </w:r>
      <w:r>
        <w:rPr>
          <w:rFonts w:ascii="Arial" w:hAnsi="Arial"/>
        </w:rPr>
        <w:t>and the surrounding areas:</w:t>
      </w:r>
    </w:p>
    <w:p w14:paraId="15A9BDD4" w14:textId="77777777" w:rsidR="003E35BC" w:rsidRDefault="003E35BC">
      <w:pPr>
        <w:pStyle w:val="Standard"/>
        <w:rPr>
          <w:rFonts w:ascii="Arial" w:hAnsi="Arial"/>
          <w:b/>
          <w:bCs/>
        </w:rPr>
      </w:pPr>
    </w:p>
    <w:p w14:paraId="2BE43E1E" w14:textId="77777777" w:rsidR="003E35BC" w:rsidRDefault="00000000">
      <w:pPr>
        <w:pStyle w:val="Standard"/>
        <w:numPr>
          <w:ilvl w:val="0"/>
          <w:numId w:val="2"/>
        </w:numPr>
        <w:rPr>
          <w:rFonts w:ascii="Arial" w:hAnsi="Arial"/>
        </w:rPr>
      </w:pPr>
      <w:r>
        <w:rPr>
          <w:rFonts w:ascii="Arial" w:hAnsi="Arial"/>
        </w:rPr>
        <w:t>SS1 – Environmental strategy (page 12)</w:t>
      </w:r>
    </w:p>
    <w:p w14:paraId="6E2FBF0A" w14:textId="77777777" w:rsidR="003E35BC" w:rsidRDefault="00000000">
      <w:pPr>
        <w:pStyle w:val="Standard"/>
        <w:numPr>
          <w:ilvl w:val="0"/>
          <w:numId w:val="2"/>
        </w:numPr>
        <w:rPr>
          <w:rFonts w:ascii="Arial" w:hAnsi="Arial"/>
        </w:rPr>
      </w:pPr>
      <w:r>
        <w:rPr>
          <w:rFonts w:ascii="Arial" w:hAnsi="Arial"/>
        </w:rPr>
        <w:t>SS2 – Sustainable design strategy (p13)</w:t>
      </w:r>
    </w:p>
    <w:p w14:paraId="38C0E10A" w14:textId="77777777" w:rsidR="003E35BC" w:rsidRDefault="00000000">
      <w:pPr>
        <w:pStyle w:val="Standard"/>
        <w:numPr>
          <w:ilvl w:val="0"/>
          <w:numId w:val="2"/>
        </w:numPr>
        <w:rPr>
          <w:rFonts w:ascii="Arial" w:hAnsi="Arial"/>
        </w:rPr>
      </w:pPr>
      <w:r>
        <w:rPr>
          <w:rFonts w:ascii="Arial" w:hAnsi="Arial"/>
        </w:rPr>
        <w:t>SS3 – Development Strategy (p17)</w:t>
      </w:r>
    </w:p>
    <w:p w14:paraId="5A860097" w14:textId="77777777" w:rsidR="003E35BC" w:rsidRDefault="00000000">
      <w:pPr>
        <w:pStyle w:val="Standard"/>
        <w:numPr>
          <w:ilvl w:val="0"/>
          <w:numId w:val="2"/>
        </w:numPr>
        <w:rPr>
          <w:rFonts w:ascii="Arial" w:hAnsi="Arial"/>
        </w:rPr>
      </w:pPr>
      <w:r>
        <w:rPr>
          <w:rFonts w:ascii="Arial" w:hAnsi="Arial"/>
        </w:rPr>
        <w:t>SS4 – Movement and transportation Strategy (p20)</w:t>
      </w:r>
    </w:p>
    <w:p w14:paraId="61D19764" w14:textId="77777777" w:rsidR="003E35BC" w:rsidRDefault="00000000">
      <w:pPr>
        <w:pStyle w:val="Standard"/>
        <w:numPr>
          <w:ilvl w:val="0"/>
          <w:numId w:val="2"/>
        </w:numPr>
        <w:rPr>
          <w:rFonts w:ascii="Arial" w:hAnsi="Arial"/>
        </w:rPr>
      </w:pPr>
      <w:r>
        <w:rPr>
          <w:rFonts w:ascii="Arial" w:hAnsi="Arial"/>
        </w:rPr>
        <w:t>SS5 – Infrastructure Strategy (p22)</w:t>
      </w:r>
    </w:p>
    <w:p w14:paraId="40A9BECE" w14:textId="77777777" w:rsidR="003E35BC" w:rsidRDefault="00000000">
      <w:pPr>
        <w:pStyle w:val="Standard"/>
        <w:numPr>
          <w:ilvl w:val="0"/>
          <w:numId w:val="2"/>
        </w:numPr>
        <w:rPr>
          <w:rFonts w:ascii="Arial" w:hAnsi="Arial"/>
        </w:rPr>
      </w:pPr>
      <w:r>
        <w:rPr>
          <w:rFonts w:ascii="Arial" w:hAnsi="Arial"/>
        </w:rPr>
        <w:t>C18 – Land east of Shelford Landfill (employment site with impact on Broad Oak Road) (p67)</w:t>
      </w:r>
    </w:p>
    <w:p w14:paraId="4B09B8C1" w14:textId="77777777" w:rsidR="003E35BC" w:rsidRDefault="00000000">
      <w:pPr>
        <w:pStyle w:val="Standard"/>
        <w:numPr>
          <w:ilvl w:val="0"/>
          <w:numId w:val="2"/>
        </w:numPr>
        <w:rPr>
          <w:rFonts w:ascii="Arial" w:hAnsi="Arial"/>
        </w:rPr>
      </w:pPr>
      <w:r>
        <w:rPr>
          <w:rFonts w:ascii="Arial" w:hAnsi="Arial"/>
        </w:rPr>
        <w:t>C20 – Land South of Sturry Road (earmarked as a strategic wetland for nutrient mitigation) (p71)</w:t>
      </w:r>
    </w:p>
    <w:p w14:paraId="4F01AEBC" w14:textId="77777777" w:rsidR="003E35BC" w:rsidRDefault="00000000">
      <w:pPr>
        <w:pStyle w:val="Standard"/>
        <w:numPr>
          <w:ilvl w:val="0"/>
          <w:numId w:val="2"/>
        </w:numPr>
        <w:rPr>
          <w:rFonts w:ascii="Arial" w:hAnsi="Arial"/>
        </w:rPr>
      </w:pPr>
      <w:r>
        <w:rPr>
          <w:rFonts w:ascii="Arial" w:hAnsi="Arial"/>
        </w:rPr>
        <w:t>R1 – Rural Service centres – including Sturry (p111)</w:t>
      </w:r>
    </w:p>
    <w:p w14:paraId="0E994E59" w14:textId="77777777" w:rsidR="003E35BC" w:rsidRDefault="00000000">
      <w:pPr>
        <w:pStyle w:val="Standard"/>
        <w:numPr>
          <w:ilvl w:val="0"/>
          <w:numId w:val="2"/>
        </w:numPr>
        <w:rPr>
          <w:rFonts w:ascii="Arial" w:hAnsi="Arial"/>
          <w:b/>
          <w:bCs/>
        </w:rPr>
      </w:pPr>
      <w:r>
        <w:rPr>
          <w:rFonts w:ascii="Arial" w:hAnsi="Arial"/>
          <w:b/>
          <w:bCs/>
        </w:rPr>
        <w:t>R5 – Bread and Cheese Field (p119)</w:t>
      </w:r>
    </w:p>
    <w:p w14:paraId="2A5F5CF6" w14:textId="77777777" w:rsidR="003E35BC" w:rsidRDefault="00000000">
      <w:pPr>
        <w:pStyle w:val="Standard"/>
        <w:numPr>
          <w:ilvl w:val="0"/>
          <w:numId w:val="2"/>
        </w:numPr>
        <w:rPr>
          <w:rFonts w:ascii="Arial" w:hAnsi="Arial"/>
        </w:rPr>
      </w:pPr>
      <w:r>
        <w:rPr>
          <w:rFonts w:ascii="Arial" w:hAnsi="Arial"/>
        </w:rPr>
        <w:t>R6 – Hersden (p121)</w:t>
      </w:r>
    </w:p>
    <w:p w14:paraId="277E1ECA" w14:textId="77777777" w:rsidR="003E35BC" w:rsidRDefault="00000000">
      <w:pPr>
        <w:pStyle w:val="Standard"/>
        <w:numPr>
          <w:ilvl w:val="0"/>
          <w:numId w:val="2"/>
        </w:numPr>
        <w:rPr>
          <w:rFonts w:ascii="Arial" w:hAnsi="Arial"/>
        </w:rPr>
      </w:pPr>
      <w:r>
        <w:rPr>
          <w:rFonts w:ascii="Arial" w:hAnsi="Arial"/>
        </w:rPr>
        <w:t>R9 – Popes Lane (p130)</w:t>
      </w:r>
    </w:p>
    <w:p w14:paraId="2C6FE18F" w14:textId="77777777" w:rsidR="003E35BC" w:rsidRDefault="00000000">
      <w:pPr>
        <w:pStyle w:val="Standard"/>
        <w:numPr>
          <w:ilvl w:val="0"/>
          <w:numId w:val="2"/>
        </w:numPr>
        <w:rPr>
          <w:rFonts w:ascii="Arial" w:hAnsi="Arial"/>
        </w:rPr>
      </w:pPr>
      <w:r>
        <w:rPr>
          <w:rFonts w:ascii="Arial" w:hAnsi="Arial"/>
        </w:rPr>
        <w:t xml:space="preserve">R10 – The Paddocks, </w:t>
      </w:r>
      <w:proofErr w:type="spellStart"/>
      <w:r>
        <w:rPr>
          <w:rFonts w:ascii="Arial" w:hAnsi="Arial"/>
        </w:rPr>
        <w:t>Shalloak</w:t>
      </w:r>
      <w:proofErr w:type="spellEnd"/>
      <w:r>
        <w:rPr>
          <w:rFonts w:ascii="Arial" w:hAnsi="Arial"/>
        </w:rPr>
        <w:t xml:space="preserve"> Road (p132)</w:t>
      </w:r>
    </w:p>
    <w:p w14:paraId="5B2CEAF0" w14:textId="77777777" w:rsidR="003E35BC" w:rsidRDefault="00000000">
      <w:pPr>
        <w:pStyle w:val="Standard"/>
        <w:numPr>
          <w:ilvl w:val="0"/>
          <w:numId w:val="2"/>
        </w:numPr>
        <w:rPr>
          <w:rFonts w:ascii="Arial" w:hAnsi="Arial"/>
        </w:rPr>
      </w:pPr>
      <w:r>
        <w:rPr>
          <w:rFonts w:ascii="Arial" w:hAnsi="Arial"/>
        </w:rPr>
        <w:t xml:space="preserve">R14 &amp; R15 – Goose Farm, </w:t>
      </w:r>
      <w:proofErr w:type="spellStart"/>
      <w:r>
        <w:rPr>
          <w:rFonts w:ascii="Arial" w:hAnsi="Arial"/>
        </w:rPr>
        <w:t>Shalloak</w:t>
      </w:r>
      <w:proofErr w:type="spellEnd"/>
      <w:r>
        <w:rPr>
          <w:rFonts w:ascii="Arial" w:hAnsi="Arial"/>
        </w:rPr>
        <w:t xml:space="preserve"> Road (pp140-142)</w:t>
      </w:r>
    </w:p>
    <w:p w14:paraId="653DD7AC" w14:textId="77777777" w:rsidR="003E35BC" w:rsidRDefault="00000000">
      <w:pPr>
        <w:pStyle w:val="Standard"/>
        <w:numPr>
          <w:ilvl w:val="0"/>
          <w:numId w:val="2"/>
        </w:numPr>
        <w:rPr>
          <w:rFonts w:ascii="Arial" w:hAnsi="Arial"/>
        </w:rPr>
      </w:pPr>
      <w:r>
        <w:rPr>
          <w:rFonts w:ascii="Arial" w:hAnsi="Arial"/>
        </w:rPr>
        <w:t>R17 – Broad Oak Reservoir (p146)</w:t>
      </w:r>
    </w:p>
    <w:p w14:paraId="1087BD33" w14:textId="1B5A794C" w:rsidR="003E35BC" w:rsidRDefault="00000000">
      <w:pPr>
        <w:pStyle w:val="Standard"/>
        <w:numPr>
          <w:ilvl w:val="0"/>
          <w:numId w:val="2"/>
        </w:numPr>
        <w:rPr>
          <w:rFonts w:ascii="Arial" w:hAnsi="Arial"/>
        </w:rPr>
      </w:pPr>
      <w:r>
        <w:rPr>
          <w:rFonts w:ascii="Arial" w:hAnsi="Arial"/>
        </w:rPr>
        <w:t>CF1 Land at Broad oak and north of Hersden (p232)</w:t>
      </w:r>
    </w:p>
    <w:p w14:paraId="0A90730B" w14:textId="77777777" w:rsidR="0019376E" w:rsidRDefault="00000000" w:rsidP="0019376E">
      <w:pPr>
        <w:pStyle w:val="Standard"/>
        <w:numPr>
          <w:ilvl w:val="0"/>
          <w:numId w:val="2"/>
        </w:numPr>
        <w:rPr>
          <w:rFonts w:ascii="Arial" w:hAnsi="Arial"/>
        </w:rPr>
      </w:pPr>
      <w:r>
        <w:rPr>
          <w:rFonts w:ascii="Arial" w:hAnsi="Arial"/>
        </w:rPr>
        <w:t>CF8 – Sturry Relief Road (p242)</w:t>
      </w:r>
    </w:p>
    <w:p w14:paraId="2C803F4F" w14:textId="6540AE93" w:rsidR="003E35BC" w:rsidRPr="0019376E" w:rsidRDefault="0019376E" w:rsidP="0019376E">
      <w:pPr>
        <w:pStyle w:val="Standard"/>
        <w:numPr>
          <w:ilvl w:val="0"/>
          <w:numId w:val="2"/>
        </w:numPr>
        <w:rPr>
          <w:rFonts w:ascii="Arial" w:hAnsi="Arial" w:cs="Arial"/>
        </w:rPr>
      </w:pPr>
      <w:r w:rsidRPr="0019376E">
        <w:rPr>
          <w:rFonts w:ascii="Arial" w:hAnsi="Arial"/>
          <w:b/>
          <w:bCs/>
        </w:rPr>
        <w:t xml:space="preserve">The Transport strategy p14 – refers to extensions of the Sturry railway station platform extension - </w:t>
      </w:r>
      <w:r w:rsidRPr="0019376E">
        <w:rPr>
          <w:rFonts w:ascii="Arial" w:hAnsi="Arial" w:cs="Arial"/>
        </w:rPr>
        <w:t>the lengthening of the Sturry platforms would negate overhang and reduce barrier down time – Westbere Parish Council has held a long desire for this and would encourage residents to support this.</w:t>
      </w:r>
    </w:p>
    <w:p w14:paraId="4F09914A" w14:textId="75B39F8C" w:rsidR="003E35BC" w:rsidRPr="00A37FF0" w:rsidRDefault="00A37FF0" w:rsidP="00A37FF0">
      <w:pPr>
        <w:pStyle w:val="Standard"/>
        <w:numPr>
          <w:ilvl w:val="0"/>
          <w:numId w:val="2"/>
        </w:numPr>
        <w:rPr>
          <w:rFonts w:ascii="Arial" w:hAnsi="Arial"/>
        </w:rPr>
      </w:pPr>
      <w:r w:rsidRPr="00A37FF0">
        <w:rPr>
          <w:rFonts w:ascii="Arial" w:hAnsi="Arial"/>
          <w:b/>
          <w:bCs/>
        </w:rPr>
        <w:t>The Natural Environment and Open Space Topic Paper (2022) - pages 67-69 refer to the “green gap” allocation at Headleys Field</w:t>
      </w:r>
      <w:r>
        <w:rPr>
          <w:rFonts w:ascii="Arial" w:hAnsi="Arial"/>
        </w:rPr>
        <w:t xml:space="preserve">. The best map for this is </w:t>
      </w:r>
      <w:r w:rsidR="0020042E">
        <w:rPr>
          <w:rFonts w:ascii="Arial" w:hAnsi="Arial"/>
        </w:rPr>
        <w:t>contained within this document p66:</w:t>
      </w:r>
      <w:r>
        <w:rPr>
          <w:rFonts w:ascii="Arial" w:hAnsi="Arial"/>
        </w:rPr>
        <w:t xml:space="preserve"> </w:t>
      </w:r>
      <w:hyperlink r:id="rId11" w:history="1">
        <w:r w:rsidRPr="0020042E">
          <w:rPr>
            <w:rStyle w:val="Hyperlink"/>
            <w:rFonts w:ascii="Arial" w:hAnsi="Arial"/>
          </w:rPr>
          <w:t>https://drive.google.com/file/d/14_b45IxUuUrBXBFBOoHb3m_x4rhVQadk/view</w:t>
        </w:r>
      </w:hyperlink>
      <w:r w:rsidR="00881D20" w:rsidRPr="00A37FF0">
        <w:rPr>
          <w:rFonts w:ascii="Arial" w:hAnsi="Arial"/>
        </w:rPr>
        <w:t xml:space="preserve"> </w:t>
      </w:r>
    </w:p>
    <w:p w14:paraId="3D17AAAF" w14:textId="2656DD1E" w:rsidR="003E35BC" w:rsidRDefault="003E35BC" w:rsidP="0020042E">
      <w:pPr>
        <w:pStyle w:val="Standard"/>
        <w:ind w:left="787"/>
        <w:rPr>
          <w:rFonts w:ascii="Arial" w:hAnsi="Arial"/>
        </w:rPr>
      </w:pPr>
    </w:p>
    <w:p w14:paraId="4FFBDD81" w14:textId="77777777" w:rsidR="003E35BC" w:rsidRDefault="003E35BC">
      <w:pPr>
        <w:pStyle w:val="Standard"/>
        <w:rPr>
          <w:rFonts w:ascii="Arial" w:hAnsi="Arial"/>
          <w:b/>
          <w:bCs/>
        </w:rPr>
      </w:pPr>
    </w:p>
    <w:p w14:paraId="0C6D8737" w14:textId="77777777" w:rsidR="003E35BC" w:rsidRDefault="003E35BC">
      <w:pPr>
        <w:pStyle w:val="Standard"/>
        <w:rPr>
          <w:rFonts w:ascii="Arial" w:hAnsi="Arial"/>
          <w:b/>
          <w:bCs/>
        </w:rPr>
      </w:pPr>
    </w:p>
    <w:p w14:paraId="60E90B4A" w14:textId="77777777" w:rsidR="003E35BC" w:rsidRDefault="003E35BC">
      <w:pPr>
        <w:pStyle w:val="Standard"/>
        <w:rPr>
          <w:rFonts w:ascii="Arial" w:hAnsi="Arial"/>
        </w:rPr>
      </w:pPr>
    </w:p>
    <w:sectPr w:rsidR="003E35BC">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9750F7" w14:textId="77777777" w:rsidR="000145E5" w:rsidRDefault="000145E5">
      <w:r>
        <w:separator/>
      </w:r>
    </w:p>
  </w:endnote>
  <w:endnote w:type="continuationSeparator" w:id="0">
    <w:p w14:paraId="159B7AD8" w14:textId="77777777" w:rsidR="000145E5" w:rsidRDefault="000145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OpenSymbol">
    <w:altName w:val="Segoe UI Symbol"/>
    <w:charset w:val="02"/>
    <w:family w:val="auto"/>
    <w:pitch w:val="default"/>
  </w:font>
  <w:font w:name="Liberation Serif">
    <w:altName w:val="Times New Roman"/>
    <w:charset w:val="00"/>
    <w:family w:val="roman"/>
    <w:pitch w:val="variable"/>
  </w:font>
  <w:font w:name="Songti SC">
    <w:altName w:val="Calibri"/>
    <w:charset w:val="00"/>
    <w:family w:val="auto"/>
    <w:pitch w:val="variable"/>
  </w:font>
  <w:font w:name="Arial Unicode MS">
    <w:altName w:val="Yu Gothic"/>
    <w:panose1 w:val="020B0604020202020204"/>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PingFang SC">
    <w:charset w:val="00"/>
    <w:family w:val="auto"/>
    <w:pitch w:val="variable"/>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7963CD" w14:textId="77777777" w:rsidR="000145E5" w:rsidRDefault="000145E5">
      <w:r>
        <w:rPr>
          <w:color w:val="000000"/>
        </w:rPr>
        <w:separator/>
      </w:r>
    </w:p>
  </w:footnote>
  <w:footnote w:type="continuationSeparator" w:id="0">
    <w:p w14:paraId="53F0E26C" w14:textId="77777777" w:rsidR="000145E5" w:rsidRDefault="000145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720F67"/>
    <w:multiLevelType w:val="multilevel"/>
    <w:tmpl w:val="2774E12A"/>
    <w:lvl w:ilvl="0">
      <w:numFmt w:val="bullet"/>
      <w:lvlText w:val="•"/>
      <w:lvlJc w:val="left"/>
      <w:pPr>
        <w:ind w:left="709" w:firstLine="0"/>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1" w15:restartNumberingAfterBreak="0">
    <w:nsid w:val="3D2A2293"/>
    <w:multiLevelType w:val="multilevel"/>
    <w:tmpl w:val="2C02AD30"/>
    <w:lvl w:ilvl="0">
      <w:numFmt w:val="bullet"/>
      <w:lvlText w:val="•"/>
      <w:lvlJc w:val="left"/>
      <w:pPr>
        <w:ind w:left="787" w:hanging="360"/>
      </w:pPr>
      <w:rPr>
        <w:rFonts w:ascii="OpenSymbol" w:eastAsia="OpenSymbol" w:hAnsi="OpenSymbol" w:cs="OpenSymbol"/>
      </w:rPr>
    </w:lvl>
    <w:lvl w:ilvl="1">
      <w:numFmt w:val="bullet"/>
      <w:lvlText w:val="◦"/>
      <w:lvlJc w:val="left"/>
      <w:pPr>
        <w:ind w:left="1147" w:hanging="360"/>
      </w:pPr>
      <w:rPr>
        <w:rFonts w:ascii="OpenSymbol" w:eastAsia="OpenSymbol" w:hAnsi="OpenSymbol" w:cs="OpenSymbol"/>
      </w:rPr>
    </w:lvl>
    <w:lvl w:ilvl="2">
      <w:numFmt w:val="bullet"/>
      <w:lvlText w:val="▪"/>
      <w:lvlJc w:val="left"/>
      <w:pPr>
        <w:ind w:left="1507" w:hanging="360"/>
      </w:pPr>
      <w:rPr>
        <w:rFonts w:ascii="OpenSymbol" w:eastAsia="OpenSymbol" w:hAnsi="OpenSymbol" w:cs="OpenSymbol"/>
      </w:rPr>
    </w:lvl>
    <w:lvl w:ilvl="3">
      <w:numFmt w:val="bullet"/>
      <w:lvlText w:val="•"/>
      <w:lvlJc w:val="left"/>
      <w:pPr>
        <w:ind w:left="1867" w:hanging="360"/>
      </w:pPr>
      <w:rPr>
        <w:rFonts w:ascii="OpenSymbol" w:eastAsia="OpenSymbol" w:hAnsi="OpenSymbol" w:cs="OpenSymbol"/>
      </w:rPr>
    </w:lvl>
    <w:lvl w:ilvl="4">
      <w:numFmt w:val="bullet"/>
      <w:lvlText w:val="◦"/>
      <w:lvlJc w:val="left"/>
      <w:pPr>
        <w:ind w:left="2227" w:hanging="360"/>
      </w:pPr>
      <w:rPr>
        <w:rFonts w:ascii="OpenSymbol" w:eastAsia="OpenSymbol" w:hAnsi="OpenSymbol" w:cs="OpenSymbol"/>
      </w:rPr>
    </w:lvl>
    <w:lvl w:ilvl="5">
      <w:numFmt w:val="bullet"/>
      <w:lvlText w:val="▪"/>
      <w:lvlJc w:val="left"/>
      <w:pPr>
        <w:ind w:left="2587" w:hanging="360"/>
      </w:pPr>
      <w:rPr>
        <w:rFonts w:ascii="OpenSymbol" w:eastAsia="OpenSymbol" w:hAnsi="OpenSymbol" w:cs="OpenSymbol"/>
      </w:rPr>
    </w:lvl>
    <w:lvl w:ilvl="6">
      <w:numFmt w:val="bullet"/>
      <w:lvlText w:val="•"/>
      <w:lvlJc w:val="left"/>
      <w:pPr>
        <w:ind w:left="2947" w:hanging="360"/>
      </w:pPr>
      <w:rPr>
        <w:rFonts w:ascii="OpenSymbol" w:eastAsia="OpenSymbol" w:hAnsi="OpenSymbol" w:cs="OpenSymbol"/>
      </w:rPr>
    </w:lvl>
    <w:lvl w:ilvl="7">
      <w:numFmt w:val="bullet"/>
      <w:lvlText w:val="◦"/>
      <w:lvlJc w:val="left"/>
      <w:pPr>
        <w:ind w:left="3307" w:hanging="360"/>
      </w:pPr>
      <w:rPr>
        <w:rFonts w:ascii="OpenSymbol" w:eastAsia="OpenSymbol" w:hAnsi="OpenSymbol" w:cs="OpenSymbol"/>
      </w:rPr>
    </w:lvl>
    <w:lvl w:ilvl="8">
      <w:numFmt w:val="bullet"/>
      <w:lvlText w:val="▪"/>
      <w:lvlJc w:val="left"/>
      <w:pPr>
        <w:ind w:left="3667" w:hanging="360"/>
      </w:pPr>
      <w:rPr>
        <w:rFonts w:ascii="OpenSymbol" w:eastAsia="OpenSymbol" w:hAnsi="OpenSymbol" w:cs="OpenSymbol"/>
      </w:rPr>
    </w:lvl>
  </w:abstractNum>
  <w:abstractNum w:abstractNumId="2" w15:restartNumberingAfterBreak="0">
    <w:nsid w:val="63DE7C10"/>
    <w:multiLevelType w:val="multilevel"/>
    <w:tmpl w:val="6E9827C2"/>
    <w:lvl w:ilvl="0">
      <w:numFmt w:val="bullet"/>
      <w:lvlText w:val="•"/>
      <w:lvlJc w:val="left"/>
      <w:pPr>
        <w:ind w:left="787" w:hanging="360"/>
      </w:pPr>
      <w:rPr>
        <w:rFonts w:ascii="OpenSymbol" w:eastAsia="OpenSymbol" w:hAnsi="OpenSymbol" w:cs="OpenSymbol"/>
      </w:rPr>
    </w:lvl>
    <w:lvl w:ilvl="1">
      <w:numFmt w:val="bullet"/>
      <w:lvlText w:val="◦"/>
      <w:lvlJc w:val="left"/>
      <w:pPr>
        <w:ind w:left="1147" w:hanging="360"/>
      </w:pPr>
      <w:rPr>
        <w:rFonts w:ascii="OpenSymbol" w:eastAsia="OpenSymbol" w:hAnsi="OpenSymbol" w:cs="OpenSymbol"/>
      </w:rPr>
    </w:lvl>
    <w:lvl w:ilvl="2">
      <w:numFmt w:val="bullet"/>
      <w:lvlText w:val="▪"/>
      <w:lvlJc w:val="left"/>
      <w:pPr>
        <w:ind w:left="1507" w:hanging="360"/>
      </w:pPr>
      <w:rPr>
        <w:rFonts w:ascii="OpenSymbol" w:eastAsia="OpenSymbol" w:hAnsi="OpenSymbol" w:cs="OpenSymbol"/>
      </w:rPr>
    </w:lvl>
    <w:lvl w:ilvl="3">
      <w:numFmt w:val="bullet"/>
      <w:lvlText w:val="•"/>
      <w:lvlJc w:val="left"/>
      <w:pPr>
        <w:ind w:left="1867" w:hanging="360"/>
      </w:pPr>
      <w:rPr>
        <w:rFonts w:ascii="OpenSymbol" w:eastAsia="OpenSymbol" w:hAnsi="OpenSymbol" w:cs="OpenSymbol"/>
      </w:rPr>
    </w:lvl>
    <w:lvl w:ilvl="4">
      <w:numFmt w:val="bullet"/>
      <w:lvlText w:val="◦"/>
      <w:lvlJc w:val="left"/>
      <w:pPr>
        <w:ind w:left="2227" w:hanging="360"/>
      </w:pPr>
      <w:rPr>
        <w:rFonts w:ascii="OpenSymbol" w:eastAsia="OpenSymbol" w:hAnsi="OpenSymbol" w:cs="OpenSymbol"/>
      </w:rPr>
    </w:lvl>
    <w:lvl w:ilvl="5">
      <w:numFmt w:val="bullet"/>
      <w:lvlText w:val="▪"/>
      <w:lvlJc w:val="left"/>
      <w:pPr>
        <w:ind w:left="2587" w:hanging="360"/>
      </w:pPr>
      <w:rPr>
        <w:rFonts w:ascii="OpenSymbol" w:eastAsia="OpenSymbol" w:hAnsi="OpenSymbol" w:cs="OpenSymbol"/>
      </w:rPr>
    </w:lvl>
    <w:lvl w:ilvl="6">
      <w:numFmt w:val="bullet"/>
      <w:lvlText w:val="•"/>
      <w:lvlJc w:val="left"/>
      <w:pPr>
        <w:ind w:left="2947" w:hanging="360"/>
      </w:pPr>
      <w:rPr>
        <w:rFonts w:ascii="OpenSymbol" w:eastAsia="OpenSymbol" w:hAnsi="OpenSymbol" w:cs="OpenSymbol"/>
      </w:rPr>
    </w:lvl>
    <w:lvl w:ilvl="7">
      <w:numFmt w:val="bullet"/>
      <w:lvlText w:val="◦"/>
      <w:lvlJc w:val="left"/>
      <w:pPr>
        <w:ind w:left="3307" w:hanging="360"/>
      </w:pPr>
      <w:rPr>
        <w:rFonts w:ascii="OpenSymbol" w:eastAsia="OpenSymbol" w:hAnsi="OpenSymbol" w:cs="OpenSymbol"/>
      </w:rPr>
    </w:lvl>
    <w:lvl w:ilvl="8">
      <w:numFmt w:val="bullet"/>
      <w:lvlText w:val="▪"/>
      <w:lvlJc w:val="left"/>
      <w:pPr>
        <w:ind w:left="3667" w:hanging="360"/>
      </w:pPr>
      <w:rPr>
        <w:rFonts w:ascii="OpenSymbol" w:eastAsia="OpenSymbol" w:hAnsi="OpenSymbol" w:cs="OpenSymbol"/>
      </w:rPr>
    </w:lvl>
  </w:abstractNum>
  <w:num w:numId="1" w16cid:durableId="1387604605">
    <w:abstractNumId w:val="0"/>
  </w:num>
  <w:num w:numId="2" w16cid:durableId="1319768061">
    <w:abstractNumId w:val="1"/>
  </w:num>
  <w:num w:numId="3" w16cid:durableId="10959046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35BC"/>
    <w:rsid w:val="000145E5"/>
    <w:rsid w:val="00080464"/>
    <w:rsid w:val="00174A4C"/>
    <w:rsid w:val="0019376E"/>
    <w:rsid w:val="0020042E"/>
    <w:rsid w:val="002376C2"/>
    <w:rsid w:val="003E35BC"/>
    <w:rsid w:val="00426FFB"/>
    <w:rsid w:val="00442730"/>
    <w:rsid w:val="004D4645"/>
    <w:rsid w:val="005B6DFB"/>
    <w:rsid w:val="00881D20"/>
    <w:rsid w:val="00A2378B"/>
    <w:rsid w:val="00A274E5"/>
    <w:rsid w:val="00A37FF0"/>
    <w:rsid w:val="00C613A5"/>
    <w:rsid w:val="00C73635"/>
    <w:rsid w:val="00F40C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D1C9C"/>
  <w15:docId w15:val="{AA10B87E-3514-4D4C-96F3-7C86F2127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Songti SC" w:hAnsi="Liberation Serif" w:cs="Arial Unicode MS"/>
        <w:kern w:val="3"/>
        <w:sz w:val="24"/>
        <w:szCs w:val="24"/>
        <w:lang w:val="en-GB" w:eastAsia="zh-CN" w:bidi="hi-IN"/>
      </w:rPr>
    </w:rPrDefault>
    <w:pPrDefault>
      <w:pPr>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PingFang SC" w:hAnsi="Liberation Sans"/>
      <w:sz w:val="28"/>
      <w:szCs w:val="28"/>
    </w:rPr>
  </w:style>
  <w:style w:type="paragraph" w:customStyle="1" w:styleId="Textbody">
    <w:name w:val="Text body"/>
    <w:basedOn w:val="Standard"/>
    <w:pPr>
      <w:spacing w:after="140" w:line="276" w:lineRule="auto"/>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character" w:customStyle="1" w:styleId="Internetlink">
    <w:name w:val="Internet link"/>
    <w:rPr>
      <w:color w:val="000080"/>
      <w:u w:val="single"/>
    </w:rPr>
  </w:style>
  <w:style w:type="character" w:customStyle="1" w:styleId="BulletSymbols">
    <w:name w:val="Bullet Symbols"/>
    <w:rPr>
      <w:rFonts w:ascii="OpenSymbol" w:eastAsia="OpenSymbol" w:hAnsi="OpenSymbol" w:cs="OpenSymbol"/>
    </w:rPr>
  </w:style>
  <w:style w:type="character" w:customStyle="1" w:styleId="StrongEmphasis">
    <w:name w:val="Strong Emphasis"/>
    <w:rPr>
      <w:b/>
      <w:bCs/>
    </w:rPr>
  </w:style>
  <w:style w:type="character" w:styleId="Hyperlink">
    <w:name w:val="Hyperlink"/>
    <w:basedOn w:val="DefaultParagraphFont"/>
    <w:uiPriority w:val="99"/>
    <w:unhideWhenUsed/>
    <w:rsid w:val="00881D20"/>
    <w:rPr>
      <w:color w:val="0000FF"/>
      <w:u w:val="single"/>
    </w:rPr>
  </w:style>
  <w:style w:type="paragraph" w:styleId="PlainText">
    <w:name w:val="Plain Text"/>
    <w:basedOn w:val="Normal"/>
    <w:link w:val="PlainTextChar"/>
    <w:uiPriority w:val="99"/>
    <w:semiHidden/>
    <w:unhideWhenUsed/>
    <w:rsid w:val="0019376E"/>
    <w:pPr>
      <w:suppressAutoHyphens w:val="0"/>
      <w:autoSpaceDN/>
      <w:textAlignment w:val="auto"/>
    </w:pPr>
    <w:rPr>
      <w:rFonts w:ascii="Calibri" w:eastAsia="Times New Roman" w:hAnsi="Calibri" w:cstheme="minorBidi"/>
      <w:kern w:val="2"/>
      <w:sz w:val="22"/>
      <w:szCs w:val="21"/>
      <w:lang w:eastAsia="en-US" w:bidi="ar-SA"/>
      <w14:ligatures w14:val="standardContextual"/>
    </w:rPr>
  </w:style>
  <w:style w:type="character" w:customStyle="1" w:styleId="PlainTextChar">
    <w:name w:val="Plain Text Char"/>
    <w:basedOn w:val="DefaultParagraphFont"/>
    <w:link w:val="PlainText"/>
    <w:uiPriority w:val="99"/>
    <w:semiHidden/>
    <w:rsid w:val="0019376E"/>
    <w:rPr>
      <w:rFonts w:ascii="Calibri" w:eastAsia="Times New Roman" w:hAnsi="Calibri" w:cstheme="minorBidi"/>
      <w:kern w:val="2"/>
      <w:sz w:val="22"/>
      <w:szCs w:val="21"/>
      <w:lang w:eastAsia="en-US" w:bidi="ar-SA"/>
      <w14:ligatures w14:val="standardContextual"/>
    </w:rPr>
  </w:style>
  <w:style w:type="character" w:styleId="UnresolvedMention">
    <w:name w:val="Unresolved Mention"/>
    <w:basedOn w:val="DefaultParagraphFont"/>
    <w:uiPriority w:val="99"/>
    <w:semiHidden/>
    <w:unhideWhenUsed/>
    <w:rsid w:val="00A37FF0"/>
    <w:rPr>
      <w:color w:val="605E5C"/>
      <w:shd w:val="clear" w:color="auto" w:fill="E1DFDD"/>
    </w:rPr>
  </w:style>
  <w:style w:type="character" w:styleId="FollowedHyperlink">
    <w:name w:val="FollowedHyperlink"/>
    <w:basedOn w:val="DefaultParagraphFont"/>
    <w:uiPriority w:val="99"/>
    <w:semiHidden/>
    <w:unhideWhenUsed/>
    <w:rsid w:val="0008046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369923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sultations@canterbury.gov.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news.canterbury.gov.uk/wp-content/uploads/2024-Local-Plan-2040-paper-version.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rive.google.com/file/d/14_b45IxUuUrBXBFBOoHb3m_x4rhVQadk/view" TargetMode="External"/><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experience.arcgis.com/experience/1e8c61757821421e8dc7d1eab938ed98/?draft=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51a9fa56-3f32-449a-a721-3e3f49aa5e9a}" enabled="0" method="" siteId="{51a9fa56-3f32-449a-a721-3e3f49aa5e9a}" removed="1"/>
</clbl:labelList>
</file>

<file path=docProps/app.xml><?xml version="1.0" encoding="utf-8"?>
<Properties xmlns="http://schemas.openxmlformats.org/officeDocument/2006/extended-properties" xmlns:vt="http://schemas.openxmlformats.org/officeDocument/2006/docPropsVTypes">
  <Template>Normal</Template>
  <TotalTime>2</TotalTime>
  <Pages>3</Pages>
  <Words>930</Words>
  <Characters>5304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Glover</dc:creator>
  <cp:lastModifiedBy>Chestfield Parish</cp:lastModifiedBy>
  <cp:revision>2</cp:revision>
  <cp:lastPrinted>2024-04-26T17:24:00Z</cp:lastPrinted>
  <dcterms:created xsi:type="dcterms:W3CDTF">2024-04-26T17:26:00Z</dcterms:created>
  <dcterms:modified xsi:type="dcterms:W3CDTF">2024-04-26T17:26:00Z</dcterms:modified>
</cp:coreProperties>
</file>